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道路工程检测培训班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2025-09-15T06:33:06Z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4BEC5923F3504D8780F0B53F6301E28A_13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